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C4" w:rsidRDefault="006229E0" w:rsidP="006229E0">
      <w:pPr>
        <w:jc w:val="both"/>
        <w:rPr>
          <w:rFonts w:ascii="Arial" w:hAnsi="Arial" w:cs="Arial"/>
          <w:b/>
          <w:sz w:val="24"/>
          <w:szCs w:val="24"/>
        </w:rPr>
      </w:pPr>
      <w:bookmarkStart w:id="0" w:name="_GoBack"/>
      <w:bookmarkEnd w:id="0"/>
      <w:r w:rsidRPr="008708D9">
        <w:rPr>
          <w:rFonts w:ascii="Century Gothic" w:hAnsi="Century Gothic"/>
          <w:b/>
          <w:sz w:val="24"/>
          <w:szCs w:val="24"/>
        </w:rPr>
        <w:t>INICIATIVA CON PROYECTO D</w:t>
      </w:r>
      <w:r w:rsidR="00665CBF">
        <w:rPr>
          <w:rFonts w:ascii="Century Gothic" w:hAnsi="Century Gothic"/>
          <w:b/>
          <w:sz w:val="24"/>
          <w:szCs w:val="24"/>
        </w:rPr>
        <w:t>E DECRETO POR EL QUE SE REFORMA EL</w:t>
      </w:r>
      <w:r>
        <w:rPr>
          <w:rFonts w:ascii="Century Gothic" w:hAnsi="Century Gothic"/>
          <w:b/>
          <w:sz w:val="24"/>
          <w:szCs w:val="24"/>
        </w:rPr>
        <w:t xml:space="preserve"> ARTÍCULO 65 </w:t>
      </w:r>
      <w:r>
        <w:rPr>
          <w:rFonts w:ascii="Arial" w:hAnsi="Arial" w:cs="Arial"/>
          <w:b/>
          <w:sz w:val="24"/>
          <w:szCs w:val="24"/>
        </w:rPr>
        <w:t>DEL REGLAMENTO DE LA LEY DE GOBIERNO DEL PODER LEGISLATIVO DEL ESTADO DE YUCATÁN</w:t>
      </w:r>
      <w:r w:rsidR="007E2AC4">
        <w:rPr>
          <w:rFonts w:ascii="Arial" w:hAnsi="Arial" w:cs="Arial"/>
          <w:b/>
          <w:sz w:val="24"/>
          <w:szCs w:val="24"/>
        </w:rPr>
        <w:t>.</w:t>
      </w:r>
    </w:p>
    <w:p w:rsidR="006229E0" w:rsidRPr="007E2AC4" w:rsidRDefault="006229E0" w:rsidP="006229E0">
      <w:pPr>
        <w:jc w:val="both"/>
        <w:rPr>
          <w:rFonts w:ascii="Arial" w:hAnsi="Arial" w:cs="Arial"/>
          <w:color w:val="000000" w:themeColor="text1"/>
          <w:sz w:val="28"/>
          <w:szCs w:val="28"/>
        </w:rPr>
      </w:pPr>
      <w:r w:rsidRPr="007E2AC4">
        <w:rPr>
          <w:rFonts w:ascii="Arial" w:hAnsi="Arial" w:cs="Arial"/>
          <w:color w:val="000000" w:themeColor="text1"/>
          <w:sz w:val="28"/>
          <w:szCs w:val="28"/>
        </w:rPr>
        <w:t xml:space="preserve">La suscrita, Diputada </w:t>
      </w:r>
      <w:proofErr w:type="spellStart"/>
      <w:r w:rsidRPr="007E2AC4">
        <w:rPr>
          <w:rFonts w:ascii="Arial" w:hAnsi="Arial" w:cs="Arial"/>
          <w:color w:val="000000" w:themeColor="text1"/>
          <w:sz w:val="28"/>
          <w:szCs w:val="28"/>
        </w:rPr>
        <w:t>Kathia</w:t>
      </w:r>
      <w:proofErr w:type="spellEnd"/>
      <w:r w:rsidRPr="007E2AC4">
        <w:rPr>
          <w:rFonts w:ascii="Arial" w:hAnsi="Arial" w:cs="Arial"/>
          <w:color w:val="000000" w:themeColor="text1"/>
          <w:sz w:val="28"/>
          <w:szCs w:val="28"/>
        </w:rPr>
        <w:t xml:space="preserve"> María </w:t>
      </w:r>
      <w:proofErr w:type="spellStart"/>
      <w:r w:rsidRPr="007E2AC4">
        <w:rPr>
          <w:rFonts w:ascii="Arial" w:hAnsi="Arial" w:cs="Arial"/>
          <w:color w:val="000000" w:themeColor="text1"/>
          <w:sz w:val="28"/>
          <w:szCs w:val="28"/>
        </w:rPr>
        <w:t>Bolio</w:t>
      </w:r>
      <w:proofErr w:type="spellEnd"/>
      <w:r w:rsidRPr="007E2AC4">
        <w:rPr>
          <w:rFonts w:ascii="Arial" w:hAnsi="Arial" w:cs="Arial"/>
          <w:color w:val="000000" w:themeColor="text1"/>
          <w:sz w:val="28"/>
          <w:szCs w:val="28"/>
        </w:rPr>
        <w:t xml:space="preserve"> </w:t>
      </w:r>
      <w:proofErr w:type="spellStart"/>
      <w:r w:rsidRPr="007E2AC4">
        <w:rPr>
          <w:rFonts w:ascii="Arial" w:hAnsi="Arial" w:cs="Arial"/>
          <w:color w:val="000000" w:themeColor="text1"/>
          <w:sz w:val="28"/>
          <w:szCs w:val="28"/>
        </w:rPr>
        <w:t>Pinelo</w:t>
      </w:r>
      <w:proofErr w:type="spellEnd"/>
      <w:r w:rsidRPr="007E2AC4">
        <w:rPr>
          <w:rFonts w:ascii="Arial" w:hAnsi="Arial" w:cs="Arial"/>
          <w:color w:val="000000" w:themeColor="text1"/>
          <w:sz w:val="28"/>
          <w:szCs w:val="28"/>
        </w:rPr>
        <w:t xml:space="preserve">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 iniciativa que reforma los artículo 65 del Reglamento de la Ley de Gobierno del Poder Legislativo del Estado de Yucatán, al tenor de la siguiente:</w:t>
      </w:r>
    </w:p>
    <w:p w:rsidR="006229E0" w:rsidRPr="007E2AC4" w:rsidRDefault="006229E0" w:rsidP="006229E0">
      <w:pPr>
        <w:jc w:val="center"/>
        <w:rPr>
          <w:rFonts w:ascii="Arial" w:hAnsi="Arial" w:cs="Arial"/>
          <w:b/>
          <w:sz w:val="28"/>
          <w:szCs w:val="28"/>
        </w:rPr>
      </w:pPr>
      <w:r w:rsidRPr="007E2AC4">
        <w:rPr>
          <w:rFonts w:ascii="Arial" w:hAnsi="Arial" w:cs="Arial"/>
          <w:b/>
          <w:sz w:val="28"/>
          <w:szCs w:val="28"/>
        </w:rPr>
        <w:t>EXPOSICIÓN DE MOTIVOS</w:t>
      </w:r>
    </w:p>
    <w:p w:rsidR="006229E0" w:rsidRPr="007E2AC4" w:rsidRDefault="006229E0" w:rsidP="006229E0">
      <w:pPr>
        <w:jc w:val="both"/>
        <w:rPr>
          <w:rFonts w:ascii="Arial" w:hAnsi="Arial" w:cs="Arial"/>
          <w:color w:val="000000" w:themeColor="text1"/>
          <w:sz w:val="28"/>
          <w:szCs w:val="28"/>
          <w:lang w:val="es-ES" w:eastAsia="es-ES"/>
        </w:rPr>
      </w:pPr>
      <w:r w:rsidRPr="007E2AC4">
        <w:rPr>
          <w:rFonts w:ascii="Arial" w:hAnsi="Arial" w:cs="Arial"/>
          <w:color w:val="000000" w:themeColor="text1"/>
          <w:sz w:val="28"/>
          <w:szCs w:val="28"/>
          <w:lang w:val="es-ES" w:eastAsia="es-ES"/>
        </w:rPr>
        <w:t xml:space="preserve">El derecho parlamentario es una parte del orden jurídico que se caracteriza por </w:t>
      </w:r>
      <w:r w:rsidR="00D11F38" w:rsidRPr="007E2AC4">
        <w:rPr>
          <w:rFonts w:ascii="Arial" w:hAnsi="Arial" w:cs="Arial"/>
          <w:color w:val="000000" w:themeColor="text1"/>
          <w:sz w:val="28"/>
          <w:szCs w:val="28"/>
          <w:lang w:val="es-ES" w:eastAsia="es-ES"/>
        </w:rPr>
        <w:t>su dinamismo</w:t>
      </w:r>
      <w:r w:rsidRPr="007E2AC4">
        <w:rPr>
          <w:rFonts w:ascii="Arial" w:hAnsi="Arial" w:cs="Arial"/>
          <w:color w:val="000000" w:themeColor="text1"/>
          <w:sz w:val="28"/>
          <w:szCs w:val="28"/>
          <w:lang w:val="es-ES" w:eastAsia="es-ES"/>
        </w:rPr>
        <w:t xml:space="preserve"> y flexibilidad, por lo que el funcionamiento del órgano legislativo debe realizarse de manera óptima, aprovechando al máximo el tiempo que se emplea para desempeñar el trabajo legislativo, que permita desahogar con claridad y detalladamente cada uno de los temas que son puestos a consideración</w:t>
      </w:r>
      <w:r w:rsidR="007E2AC4" w:rsidRPr="007E2AC4">
        <w:rPr>
          <w:rFonts w:ascii="Arial" w:hAnsi="Arial" w:cs="Arial"/>
          <w:color w:val="000000" w:themeColor="text1"/>
          <w:sz w:val="28"/>
          <w:szCs w:val="28"/>
          <w:lang w:val="es-ES" w:eastAsia="es-ES"/>
        </w:rPr>
        <w:t xml:space="preserve"> en </w:t>
      </w:r>
      <w:r w:rsidRPr="007E2AC4">
        <w:rPr>
          <w:rFonts w:ascii="Arial" w:hAnsi="Arial" w:cs="Arial"/>
          <w:color w:val="000000" w:themeColor="text1"/>
          <w:sz w:val="28"/>
          <w:szCs w:val="28"/>
          <w:lang w:val="es-ES" w:eastAsia="es-ES"/>
        </w:rPr>
        <w:t>el pleno del Congreso del Estado de Yucatán.</w:t>
      </w:r>
    </w:p>
    <w:p w:rsidR="00D11F38" w:rsidRPr="007E2AC4" w:rsidRDefault="00D11F38" w:rsidP="006229E0">
      <w:pPr>
        <w:jc w:val="both"/>
        <w:rPr>
          <w:rFonts w:ascii="Arial" w:hAnsi="Arial" w:cs="Arial"/>
          <w:color w:val="000000" w:themeColor="text1"/>
          <w:sz w:val="28"/>
          <w:szCs w:val="28"/>
          <w:shd w:val="clear" w:color="auto" w:fill="FFFFFF"/>
        </w:rPr>
      </w:pPr>
      <w:r w:rsidRPr="007E2AC4">
        <w:rPr>
          <w:rFonts w:ascii="Arial" w:hAnsi="Arial" w:cs="Arial"/>
          <w:color w:val="000000" w:themeColor="text1"/>
          <w:sz w:val="28"/>
          <w:szCs w:val="28"/>
          <w:shd w:val="clear" w:color="auto" w:fill="FFFFFF"/>
        </w:rPr>
        <w:t xml:space="preserve">El </w:t>
      </w:r>
      <w:r w:rsidR="007E2AC4" w:rsidRPr="007E2AC4">
        <w:rPr>
          <w:rFonts w:ascii="Arial" w:hAnsi="Arial" w:cs="Arial"/>
          <w:color w:val="000000" w:themeColor="text1"/>
          <w:sz w:val="28"/>
          <w:szCs w:val="28"/>
          <w:shd w:val="clear" w:color="auto" w:fill="FFFFFF"/>
        </w:rPr>
        <w:t>poder l</w:t>
      </w:r>
      <w:r w:rsidR="006229E0" w:rsidRPr="007E2AC4">
        <w:rPr>
          <w:rFonts w:ascii="Arial" w:hAnsi="Arial" w:cs="Arial"/>
          <w:color w:val="000000" w:themeColor="text1"/>
          <w:sz w:val="28"/>
          <w:szCs w:val="28"/>
          <w:shd w:val="clear" w:color="auto" w:fill="FFFFFF"/>
        </w:rPr>
        <w:t>egislativo necesita recobrar su vitalidad</w:t>
      </w:r>
      <w:r w:rsidRPr="007E2AC4">
        <w:rPr>
          <w:rFonts w:ascii="Arial" w:hAnsi="Arial" w:cs="Arial"/>
          <w:color w:val="000000" w:themeColor="text1"/>
          <w:sz w:val="28"/>
          <w:szCs w:val="28"/>
          <w:shd w:val="clear" w:color="auto" w:fill="FFFFFF"/>
        </w:rPr>
        <w:t xml:space="preserve">, modernizarse con nuevas técnicas que agilicen los trámites en la materia y permita efectuar sesiones más productivas en el recinto legislativo. </w:t>
      </w:r>
    </w:p>
    <w:p w:rsidR="006229E0" w:rsidRPr="007E2AC4" w:rsidRDefault="006229E0" w:rsidP="006229E0">
      <w:pPr>
        <w:jc w:val="both"/>
        <w:rPr>
          <w:rFonts w:ascii="Arial" w:hAnsi="Arial" w:cs="Arial"/>
          <w:color w:val="000000" w:themeColor="text1"/>
          <w:sz w:val="28"/>
          <w:szCs w:val="28"/>
          <w:lang w:val="es-ES" w:eastAsia="es-ES"/>
        </w:rPr>
      </w:pPr>
      <w:r w:rsidRPr="007E2AC4">
        <w:rPr>
          <w:rFonts w:ascii="Arial" w:hAnsi="Arial" w:cs="Arial"/>
          <w:color w:val="000000" w:themeColor="text1"/>
          <w:sz w:val="28"/>
          <w:szCs w:val="28"/>
          <w:lang w:val="es-ES" w:eastAsia="es-ES"/>
        </w:rPr>
        <w:t>Cada tema presentado en la tribuna, representa las inquietudes</w:t>
      </w:r>
      <w:r w:rsidR="00D11F38" w:rsidRPr="007E2AC4">
        <w:rPr>
          <w:rFonts w:ascii="Arial" w:hAnsi="Arial" w:cs="Arial"/>
          <w:color w:val="000000" w:themeColor="text1"/>
          <w:sz w:val="28"/>
          <w:szCs w:val="28"/>
          <w:lang w:val="es-ES" w:eastAsia="es-ES"/>
        </w:rPr>
        <w:t xml:space="preserve"> y problemáticas</w:t>
      </w:r>
      <w:r w:rsidRPr="007E2AC4">
        <w:rPr>
          <w:rFonts w:ascii="Arial" w:hAnsi="Arial" w:cs="Arial"/>
          <w:color w:val="000000" w:themeColor="text1"/>
          <w:sz w:val="28"/>
          <w:szCs w:val="28"/>
          <w:lang w:val="es-ES" w:eastAsia="es-ES"/>
        </w:rPr>
        <w:t xml:space="preserve"> de todos los yucatecos, por lo que se requiere</w:t>
      </w:r>
      <w:r w:rsidR="00D11F38" w:rsidRPr="007E2AC4">
        <w:rPr>
          <w:rFonts w:ascii="Arial" w:hAnsi="Arial" w:cs="Arial"/>
          <w:color w:val="000000" w:themeColor="text1"/>
          <w:sz w:val="28"/>
          <w:szCs w:val="28"/>
          <w:lang w:val="es-ES" w:eastAsia="es-ES"/>
        </w:rPr>
        <w:t xml:space="preserve"> mayor tiempo para darle soluciones concretas.</w:t>
      </w:r>
      <w:r w:rsidRPr="007E2AC4">
        <w:rPr>
          <w:rFonts w:ascii="Arial" w:hAnsi="Arial" w:cs="Arial"/>
          <w:color w:val="000000" w:themeColor="text1"/>
          <w:sz w:val="28"/>
          <w:szCs w:val="28"/>
          <w:lang w:val="es-ES" w:eastAsia="es-ES"/>
        </w:rPr>
        <w:t xml:space="preserve"> </w:t>
      </w:r>
    </w:p>
    <w:p w:rsidR="00D11F38" w:rsidRPr="007E2AC4" w:rsidRDefault="006229E0" w:rsidP="006229E0">
      <w:pPr>
        <w:jc w:val="both"/>
        <w:rPr>
          <w:rFonts w:ascii="Arial" w:hAnsi="Arial" w:cs="Arial"/>
          <w:color w:val="000000" w:themeColor="text1"/>
          <w:sz w:val="28"/>
          <w:szCs w:val="28"/>
          <w:shd w:val="clear" w:color="auto" w:fill="FFFFFF"/>
          <w:lang w:val="es-ES" w:eastAsia="es-ES"/>
        </w:rPr>
      </w:pPr>
      <w:r w:rsidRPr="007E2AC4">
        <w:rPr>
          <w:rFonts w:ascii="Arial" w:hAnsi="Arial" w:cs="Arial"/>
          <w:color w:val="000000" w:themeColor="text1"/>
          <w:sz w:val="28"/>
          <w:szCs w:val="28"/>
          <w:shd w:val="clear" w:color="auto" w:fill="FFFFFF"/>
          <w:lang w:val="es-ES" w:eastAsia="es-ES"/>
        </w:rPr>
        <w:t>Es</w:t>
      </w:r>
      <w:r w:rsidR="00D11F38" w:rsidRPr="007E2AC4">
        <w:rPr>
          <w:rFonts w:ascii="Arial" w:hAnsi="Arial" w:cs="Arial"/>
          <w:color w:val="000000" w:themeColor="text1"/>
          <w:sz w:val="28"/>
          <w:szCs w:val="28"/>
          <w:shd w:val="clear" w:color="auto" w:fill="FFFFFF"/>
          <w:lang w:val="es-ES" w:eastAsia="es-ES"/>
        </w:rPr>
        <w:t xml:space="preserve"> necesario optimizar el tiempo para lograr mejores resultados, con la presente iniciativa estamos garantizando sesiones más productivas, que generarán un verdadero y pronto beneficio a los yucatecos y a las yucatecas. </w:t>
      </w:r>
    </w:p>
    <w:p w:rsidR="00D11F38" w:rsidRPr="007E2AC4" w:rsidRDefault="00D11F38" w:rsidP="00D11F38">
      <w:pPr>
        <w:jc w:val="both"/>
        <w:rPr>
          <w:rFonts w:ascii="Arial" w:eastAsia="Calibri" w:hAnsi="Arial" w:cs="Arial"/>
          <w:color w:val="000000" w:themeColor="text1"/>
          <w:sz w:val="28"/>
          <w:szCs w:val="28"/>
        </w:rPr>
      </w:pPr>
      <w:r w:rsidRPr="00D11F38">
        <w:rPr>
          <w:rFonts w:ascii="Arial" w:eastAsia="Calibri" w:hAnsi="Arial" w:cs="Arial"/>
          <w:color w:val="000000" w:themeColor="text1"/>
          <w:sz w:val="28"/>
          <w:szCs w:val="28"/>
        </w:rPr>
        <w:t xml:space="preserve">Por lo anteriormente expuesto y fundado de esta iniciativa, me permito someter a consideración de esta Soberanía la siguiente iniciativa: </w:t>
      </w:r>
    </w:p>
    <w:p w:rsidR="007E2AC4" w:rsidRPr="00D11F38" w:rsidRDefault="007E2AC4" w:rsidP="00D11F38">
      <w:pPr>
        <w:jc w:val="both"/>
        <w:rPr>
          <w:rFonts w:ascii="Arial" w:eastAsia="Calibri" w:hAnsi="Arial" w:cs="Arial"/>
          <w:color w:val="000000" w:themeColor="text1"/>
          <w:sz w:val="28"/>
          <w:szCs w:val="28"/>
        </w:rPr>
      </w:pPr>
    </w:p>
    <w:p w:rsidR="00D11F38" w:rsidRPr="00D11F38" w:rsidRDefault="00D11F38" w:rsidP="00D11F38">
      <w:pPr>
        <w:jc w:val="center"/>
        <w:rPr>
          <w:b/>
          <w:sz w:val="28"/>
          <w:szCs w:val="28"/>
        </w:rPr>
      </w:pPr>
      <w:r w:rsidRPr="00D11F38">
        <w:rPr>
          <w:b/>
          <w:sz w:val="28"/>
          <w:szCs w:val="28"/>
        </w:rPr>
        <w:lastRenderedPageBreak/>
        <w:t>PROYECTO DE DECRETO</w:t>
      </w:r>
    </w:p>
    <w:p w:rsidR="006229E0" w:rsidRPr="00D11F38" w:rsidRDefault="00D11F38" w:rsidP="00D11F38">
      <w:pPr>
        <w:rPr>
          <w:rFonts w:ascii="Arial" w:hAnsi="Arial" w:cs="Arial"/>
          <w:sz w:val="24"/>
          <w:szCs w:val="24"/>
        </w:rPr>
      </w:pPr>
      <w:bookmarkStart w:id="1" w:name="_Hlk524891606"/>
      <w:r w:rsidRPr="00D11F38">
        <w:rPr>
          <w:rFonts w:ascii="Arial" w:hAnsi="Arial" w:cs="Arial"/>
          <w:b/>
          <w:sz w:val="24"/>
          <w:szCs w:val="24"/>
        </w:rPr>
        <w:t xml:space="preserve">ARTÍCULO PRIMERO. </w:t>
      </w:r>
      <w:bookmarkStart w:id="2" w:name="_Hlk524893991"/>
      <w:r>
        <w:rPr>
          <w:rFonts w:ascii="Arial" w:hAnsi="Arial" w:cs="Arial"/>
          <w:b/>
          <w:sz w:val="24"/>
          <w:szCs w:val="24"/>
        </w:rPr>
        <w:t>Se reforma el Artículo 65</w:t>
      </w:r>
      <w:r w:rsidRPr="00D11F38">
        <w:rPr>
          <w:rFonts w:ascii="Arial" w:hAnsi="Arial" w:cs="Arial"/>
          <w:b/>
          <w:sz w:val="24"/>
          <w:szCs w:val="24"/>
        </w:rPr>
        <w:t xml:space="preserve"> </w:t>
      </w:r>
      <w:r>
        <w:rPr>
          <w:rFonts w:ascii="Arial" w:hAnsi="Arial" w:cs="Arial"/>
          <w:b/>
          <w:sz w:val="24"/>
          <w:szCs w:val="24"/>
        </w:rPr>
        <w:t>del</w:t>
      </w:r>
      <w:r w:rsidRPr="00D11F38">
        <w:rPr>
          <w:rFonts w:ascii="Arial" w:hAnsi="Arial" w:cs="Arial"/>
          <w:b/>
          <w:sz w:val="24"/>
          <w:szCs w:val="24"/>
        </w:rPr>
        <w:t xml:space="preserve"> Reglamento de la Ley de Gobierno del Poder Legislativo del Estado de Yucatán</w:t>
      </w:r>
      <w:r>
        <w:rPr>
          <w:rFonts w:ascii="Arial" w:hAnsi="Arial" w:cs="Arial"/>
          <w:b/>
          <w:sz w:val="24"/>
          <w:szCs w:val="24"/>
        </w:rPr>
        <w:t>,</w:t>
      </w:r>
      <w:r w:rsidRPr="00D11F38">
        <w:rPr>
          <w:rFonts w:ascii="Arial" w:hAnsi="Arial" w:cs="Arial"/>
          <w:b/>
          <w:sz w:val="24"/>
          <w:szCs w:val="24"/>
        </w:rPr>
        <w:t xml:space="preserve"> para quedar como sigue:</w:t>
      </w:r>
      <w:bookmarkEnd w:id="1"/>
      <w:bookmarkEnd w:id="2"/>
    </w:p>
    <w:p w:rsidR="007E2AC4" w:rsidRPr="007E2AC4" w:rsidRDefault="006229E0" w:rsidP="006229E0">
      <w:pPr>
        <w:jc w:val="both"/>
        <w:rPr>
          <w:rFonts w:ascii="Arial" w:hAnsi="Arial" w:cs="Arial"/>
          <w:sz w:val="28"/>
          <w:szCs w:val="28"/>
        </w:rPr>
      </w:pPr>
      <w:r w:rsidRPr="007E2AC4">
        <w:rPr>
          <w:rFonts w:ascii="Arial" w:hAnsi="Arial" w:cs="Arial"/>
          <w:b/>
          <w:sz w:val="28"/>
          <w:szCs w:val="28"/>
        </w:rPr>
        <w:t>Artículo 65.-</w:t>
      </w:r>
      <w:r w:rsidRPr="007E2AC4">
        <w:rPr>
          <w:sz w:val="28"/>
          <w:szCs w:val="28"/>
        </w:rPr>
        <w:t xml:space="preserve"> </w:t>
      </w:r>
      <w:r w:rsidRPr="007E2AC4">
        <w:rPr>
          <w:rFonts w:ascii="Arial" w:hAnsi="Arial" w:cs="Arial"/>
          <w:sz w:val="28"/>
          <w:szCs w:val="28"/>
        </w:rPr>
        <w:t xml:space="preserve">Las actas de cada sesión deberán contener la fecha y el lugar en que se verifique la sesión, el sumario, una relación sucinta de lo acontecido en el orden en que se desarrollen, así como los nombres y firmas de los que presidan la Mesa Directiva o la Diputación Permanente, misma que se consignará íntegra y textualmente al Diario de los Debates. </w:t>
      </w:r>
    </w:p>
    <w:p w:rsidR="007E2AC4" w:rsidRPr="007E2AC4" w:rsidRDefault="006229E0" w:rsidP="006229E0">
      <w:pPr>
        <w:jc w:val="both"/>
        <w:rPr>
          <w:rFonts w:ascii="Arial" w:hAnsi="Arial" w:cs="Arial"/>
          <w:sz w:val="28"/>
          <w:szCs w:val="28"/>
        </w:rPr>
      </w:pPr>
      <w:r w:rsidRPr="007E2AC4">
        <w:rPr>
          <w:rFonts w:ascii="Arial" w:hAnsi="Arial" w:cs="Arial"/>
          <w:sz w:val="28"/>
          <w:szCs w:val="28"/>
        </w:rPr>
        <w:t xml:space="preserve">La Secretaría General, elaborará una síntesis del acta de cada sesión de los períodos ordinarios y extraordinarios, </w:t>
      </w:r>
      <w:r w:rsidRPr="007E2AC4">
        <w:rPr>
          <w:rFonts w:ascii="Arial" w:hAnsi="Arial" w:cs="Arial"/>
          <w:b/>
          <w:sz w:val="28"/>
          <w:szCs w:val="28"/>
        </w:rPr>
        <w:t xml:space="preserve">la cual deberá ser </w:t>
      </w:r>
      <w:r w:rsidR="00D11F38" w:rsidRPr="007E2AC4">
        <w:rPr>
          <w:rFonts w:ascii="Arial" w:hAnsi="Arial" w:cs="Arial"/>
          <w:b/>
          <w:sz w:val="28"/>
          <w:szCs w:val="28"/>
        </w:rPr>
        <w:t>presentada en</w:t>
      </w:r>
      <w:r w:rsidR="007E2AC4" w:rsidRPr="007E2AC4">
        <w:rPr>
          <w:rFonts w:ascii="Arial" w:hAnsi="Arial" w:cs="Arial"/>
          <w:b/>
          <w:sz w:val="28"/>
          <w:szCs w:val="28"/>
        </w:rPr>
        <w:t xml:space="preserve"> la siguiente sesión del Pleno en</w:t>
      </w:r>
      <w:r w:rsidR="00D11F38" w:rsidRPr="007E2AC4">
        <w:rPr>
          <w:rFonts w:ascii="Arial" w:hAnsi="Arial" w:cs="Arial"/>
          <w:b/>
          <w:sz w:val="28"/>
          <w:szCs w:val="28"/>
        </w:rPr>
        <w:t xml:space="preserve"> los monitores electrónicos de cada diputado,</w:t>
      </w:r>
      <w:r w:rsidR="007E2AC4" w:rsidRPr="007E2AC4">
        <w:rPr>
          <w:rFonts w:ascii="Arial" w:hAnsi="Arial" w:cs="Arial"/>
          <w:b/>
          <w:sz w:val="28"/>
          <w:szCs w:val="28"/>
        </w:rPr>
        <w:t xml:space="preserve"> dispensando</w:t>
      </w:r>
      <w:r w:rsidR="007E2AC4" w:rsidRPr="007E2AC4">
        <w:rPr>
          <w:rFonts w:ascii="Arial" w:hAnsi="Arial" w:cs="Arial"/>
          <w:sz w:val="28"/>
          <w:szCs w:val="28"/>
        </w:rPr>
        <w:t xml:space="preserve"> </w:t>
      </w:r>
      <w:r w:rsidR="007E2AC4" w:rsidRPr="007E2AC4">
        <w:rPr>
          <w:rFonts w:ascii="Arial" w:hAnsi="Arial" w:cs="Arial"/>
          <w:b/>
          <w:sz w:val="28"/>
          <w:szCs w:val="28"/>
        </w:rPr>
        <w:t>así</w:t>
      </w:r>
      <w:r w:rsidR="007E2AC4" w:rsidRPr="007E2AC4">
        <w:rPr>
          <w:rFonts w:ascii="Arial" w:hAnsi="Arial" w:cs="Arial"/>
          <w:sz w:val="28"/>
          <w:szCs w:val="28"/>
        </w:rPr>
        <w:t xml:space="preserve"> </w:t>
      </w:r>
      <w:r w:rsidR="007E2AC4" w:rsidRPr="007E2AC4">
        <w:rPr>
          <w:rFonts w:ascii="Arial" w:hAnsi="Arial" w:cs="Arial"/>
          <w:b/>
          <w:sz w:val="28"/>
          <w:szCs w:val="28"/>
        </w:rPr>
        <w:t>su lectura</w:t>
      </w:r>
      <w:r w:rsidR="007E2AC4" w:rsidRPr="007E2AC4">
        <w:rPr>
          <w:rFonts w:ascii="Arial" w:hAnsi="Arial" w:cs="Arial"/>
          <w:sz w:val="28"/>
          <w:szCs w:val="28"/>
        </w:rPr>
        <w:t>,</w:t>
      </w:r>
      <w:r w:rsidR="00D11F38" w:rsidRPr="007E2AC4">
        <w:rPr>
          <w:rFonts w:ascii="Arial" w:hAnsi="Arial" w:cs="Arial"/>
          <w:sz w:val="28"/>
          <w:szCs w:val="28"/>
        </w:rPr>
        <w:t xml:space="preserve"> </w:t>
      </w:r>
      <w:r w:rsidR="007E2AC4" w:rsidRPr="007E2AC4">
        <w:rPr>
          <w:rFonts w:ascii="Arial" w:hAnsi="Arial" w:cs="Arial"/>
          <w:b/>
          <w:sz w:val="28"/>
          <w:szCs w:val="28"/>
        </w:rPr>
        <w:t>sometiéndola únicamente a discusión y votación</w:t>
      </w:r>
      <w:r w:rsidR="007E2AC4" w:rsidRPr="007E2AC4">
        <w:rPr>
          <w:rFonts w:ascii="Arial" w:hAnsi="Arial" w:cs="Arial"/>
          <w:sz w:val="28"/>
          <w:szCs w:val="28"/>
        </w:rPr>
        <w:t xml:space="preserve"> </w:t>
      </w:r>
      <w:r w:rsidRPr="007E2AC4">
        <w:rPr>
          <w:rFonts w:ascii="Arial" w:hAnsi="Arial" w:cs="Arial"/>
          <w:b/>
          <w:sz w:val="28"/>
          <w:szCs w:val="28"/>
        </w:rPr>
        <w:t>en la siguiente sesión del Pleno.</w:t>
      </w:r>
      <w:r w:rsidRPr="007E2AC4">
        <w:rPr>
          <w:rFonts w:ascii="Arial" w:hAnsi="Arial" w:cs="Arial"/>
          <w:sz w:val="28"/>
          <w:szCs w:val="28"/>
        </w:rPr>
        <w:t xml:space="preserve"> </w:t>
      </w:r>
    </w:p>
    <w:p w:rsidR="006229E0" w:rsidRPr="007E2AC4" w:rsidRDefault="006229E0" w:rsidP="006229E0">
      <w:pPr>
        <w:jc w:val="both"/>
        <w:rPr>
          <w:rFonts w:ascii="Arial" w:hAnsi="Arial" w:cs="Arial"/>
          <w:sz w:val="28"/>
          <w:szCs w:val="28"/>
        </w:rPr>
      </w:pPr>
      <w:r w:rsidRPr="007E2AC4">
        <w:rPr>
          <w:rFonts w:ascii="Arial" w:hAnsi="Arial" w:cs="Arial"/>
          <w:sz w:val="28"/>
          <w:szCs w:val="28"/>
        </w:rPr>
        <w:t>Cuando por falta de quórum no se verifique una sesión, el Secretario General levantará constancia que deberán firmar los diputados que hubieren asistido.</w:t>
      </w:r>
    </w:p>
    <w:p w:rsidR="007E2AC4" w:rsidRPr="007E2AC4" w:rsidRDefault="007E2AC4" w:rsidP="007E2AC4">
      <w:pPr>
        <w:spacing w:line="360" w:lineRule="auto"/>
        <w:jc w:val="center"/>
        <w:rPr>
          <w:rFonts w:ascii="Arial" w:eastAsia="Calibri" w:hAnsi="Arial" w:cs="Arial"/>
          <w:sz w:val="28"/>
          <w:szCs w:val="28"/>
        </w:rPr>
      </w:pPr>
      <w:r w:rsidRPr="007E2AC4">
        <w:rPr>
          <w:rFonts w:ascii="Arial" w:eastAsia="Calibri" w:hAnsi="Arial" w:cs="Arial"/>
          <w:b/>
          <w:sz w:val="28"/>
          <w:szCs w:val="28"/>
        </w:rPr>
        <w:t>TRANSITORIO</w:t>
      </w:r>
      <w:r w:rsidRPr="007E2AC4">
        <w:rPr>
          <w:rFonts w:ascii="Arial" w:eastAsia="Calibri" w:hAnsi="Arial" w:cs="Arial"/>
          <w:sz w:val="28"/>
          <w:szCs w:val="28"/>
        </w:rPr>
        <w:t>.</w:t>
      </w:r>
    </w:p>
    <w:p w:rsidR="007E2AC4" w:rsidRPr="007E2AC4" w:rsidRDefault="007E2AC4" w:rsidP="007E2AC4">
      <w:pPr>
        <w:spacing w:line="360" w:lineRule="auto"/>
        <w:jc w:val="both"/>
        <w:rPr>
          <w:rFonts w:ascii="Arial" w:eastAsia="Calibri" w:hAnsi="Arial" w:cs="Arial"/>
          <w:sz w:val="28"/>
          <w:szCs w:val="28"/>
        </w:rPr>
      </w:pPr>
      <w:r w:rsidRPr="007E2AC4">
        <w:rPr>
          <w:rFonts w:ascii="Arial" w:eastAsia="Calibri" w:hAnsi="Arial" w:cs="Arial"/>
          <w:b/>
          <w:sz w:val="28"/>
          <w:szCs w:val="28"/>
        </w:rPr>
        <w:t>ÚNICO.</w:t>
      </w:r>
      <w:r w:rsidRPr="007E2AC4">
        <w:rPr>
          <w:rFonts w:ascii="Arial" w:eastAsia="Calibri" w:hAnsi="Arial" w:cs="Arial"/>
          <w:sz w:val="28"/>
          <w:szCs w:val="28"/>
        </w:rPr>
        <w:t xml:space="preserve"> El presente decreto entrará en vigor al día siguiente de su publicación en el Diario Oficial del Estado de Yucatán.</w:t>
      </w:r>
    </w:p>
    <w:p w:rsidR="007E2AC4" w:rsidRPr="007E2AC4" w:rsidRDefault="007E2AC4" w:rsidP="007E2AC4">
      <w:pPr>
        <w:autoSpaceDE w:val="0"/>
        <w:autoSpaceDN w:val="0"/>
        <w:adjustRightInd w:val="0"/>
        <w:rPr>
          <w:rFonts w:ascii="Arial" w:eastAsia="Calibri" w:hAnsi="Arial" w:cs="Arial"/>
          <w:b/>
          <w:color w:val="000000"/>
          <w:sz w:val="24"/>
          <w:szCs w:val="24"/>
          <w:lang w:val="es-ES"/>
        </w:rPr>
      </w:pPr>
      <w:r w:rsidRPr="007E2AC4">
        <w:rPr>
          <w:rFonts w:ascii="Arial" w:eastAsia="Calibri" w:hAnsi="Arial" w:cs="Arial"/>
          <w:b/>
          <w:color w:val="000000"/>
          <w:sz w:val="24"/>
          <w:szCs w:val="24"/>
          <w:lang w:val="es-ES"/>
        </w:rPr>
        <w:t>PROTESTO LO NECESARIO EN LA CIUDAD DE M</w:t>
      </w:r>
      <w:r>
        <w:rPr>
          <w:rFonts w:ascii="Arial" w:eastAsia="Calibri" w:hAnsi="Arial" w:cs="Arial"/>
          <w:b/>
          <w:color w:val="000000"/>
          <w:sz w:val="24"/>
          <w:szCs w:val="24"/>
          <w:lang w:val="es-ES"/>
        </w:rPr>
        <w:t>ÉRIDA, YUCATAN A LOS VEINTISIETE</w:t>
      </w:r>
      <w:r w:rsidRPr="007E2AC4">
        <w:rPr>
          <w:rFonts w:ascii="Arial" w:eastAsia="Calibri" w:hAnsi="Arial" w:cs="Arial"/>
          <w:b/>
          <w:color w:val="000000"/>
          <w:sz w:val="24"/>
          <w:szCs w:val="24"/>
          <w:lang w:val="es-ES"/>
        </w:rPr>
        <w:t xml:space="preserve"> DÍAS DEL MES DE SEPTIEMBRE DE 2018.</w:t>
      </w:r>
    </w:p>
    <w:p w:rsidR="007E2AC4" w:rsidRPr="007E2AC4" w:rsidRDefault="007E2AC4" w:rsidP="007E2AC4">
      <w:pPr>
        <w:autoSpaceDE w:val="0"/>
        <w:autoSpaceDN w:val="0"/>
        <w:adjustRightInd w:val="0"/>
        <w:rPr>
          <w:rFonts w:ascii="Arial" w:eastAsia="Calibri" w:hAnsi="Arial" w:cs="Arial"/>
          <w:b/>
          <w:color w:val="000000"/>
          <w:sz w:val="24"/>
          <w:szCs w:val="24"/>
          <w:lang w:val="es-ES"/>
        </w:rPr>
      </w:pPr>
    </w:p>
    <w:p w:rsidR="007E2AC4" w:rsidRPr="007E2AC4" w:rsidRDefault="007E2AC4" w:rsidP="007E2AC4">
      <w:pPr>
        <w:autoSpaceDE w:val="0"/>
        <w:autoSpaceDN w:val="0"/>
        <w:adjustRightInd w:val="0"/>
        <w:rPr>
          <w:rFonts w:ascii="Arial" w:eastAsia="Calibri" w:hAnsi="Arial" w:cs="Arial"/>
          <w:b/>
          <w:color w:val="000000"/>
          <w:sz w:val="24"/>
          <w:szCs w:val="24"/>
          <w:lang w:val="es-ES"/>
        </w:rPr>
      </w:pPr>
    </w:p>
    <w:p w:rsidR="007E2AC4" w:rsidRPr="007E2AC4" w:rsidRDefault="007E2AC4" w:rsidP="007E2AC4">
      <w:pPr>
        <w:jc w:val="center"/>
        <w:rPr>
          <w:rFonts w:ascii="Century Gothic" w:hAnsi="Century Gothic"/>
          <w:b/>
          <w:sz w:val="24"/>
          <w:szCs w:val="24"/>
        </w:rPr>
      </w:pPr>
      <w:r w:rsidRPr="007E2AC4">
        <w:rPr>
          <w:rFonts w:ascii="Century Gothic" w:hAnsi="Century Gothic"/>
          <w:b/>
          <w:sz w:val="24"/>
          <w:szCs w:val="24"/>
        </w:rPr>
        <w:t>DIP. KATHIA MARÍA BOLIO PINELO</w:t>
      </w:r>
    </w:p>
    <w:p w:rsidR="007E2AC4" w:rsidRPr="007E2AC4" w:rsidRDefault="007E2AC4" w:rsidP="007E2AC4">
      <w:pPr>
        <w:rPr>
          <w:rFonts w:ascii="Arial" w:hAnsi="Arial" w:cs="Arial"/>
          <w:sz w:val="24"/>
          <w:szCs w:val="24"/>
        </w:rPr>
      </w:pPr>
      <w:r w:rsidRPr="007E2AC4">
        <w:rPr>
          <w:rFonts w:ascii="Arial" w:hAnsi="Arial" w:cs="Arial"/>
          <w:sz w:val="24"/>
          <w:szCs w:val="24"/>
        </w:rPr>
        <w:t xml:space="preserve"> </w:t>
      </w:r>
    </w:p>
    <w:p w:rsidR="007E2AC4" w:rsidRDefault="007E2AC4" w:rsidP="006229E0">
      <w:pPr>
        <w:jc w:val="both"/>
        <w:rPr>
          <w:rFonts w:ascii="Arial" w:hAnsi="Arial" w:cs="Arial"/>
          <w:sz w:val="24"/>
          <w:szCs w:val="24"/>
        </w:rPr>
      </w:pPr>
    </w:p>
    <w:p w:rsidR="007E2AC4" w:rsidRPr="006229E0" w:rsidRDefault="007E2AC4" w:rsidP="006229E0">
      <w:pPr>
        <w:jc w:val="both"/>
        <w:rPr>
          <w:rFonts w:ascii="Arial" w:hAnsi="Arial" w:cs="Arial"/>
          <w:b/>
          <w:sz w:val="24"/>
          <w:szCs w:val="24"/>
        </w:rPr>
      </w:pPr>
    </w:p>
    <w:sectPr w:rsidR="007E2AC4" w:rsidRPr="006229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E0"/>
    <w:rsid w:val="006229E0"/>
    <w:rsid w:val="00665CBF"/>
    <w:rsid w:val="006C70B4"/>
    <w:rsid w:val="007E2AC4"/>
    <w:rsid w:val="00C23342"/>
    <w:rsid w:val="00D11F38"/>
    <w:rsid w:val="00D87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33F8-EE04-4CD0-BC43-71DE88AC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9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29E0"/>
    <w:pPr>
      <w:spacing w:after="0" w:line="240" w:lineRule="auto"/>
    </w:pPr>
  </w:style>
  <w:style w:type="paragraph" w:styleId="Textodeglobo">
    <w:name w:val="Balloon Text"/>
    <w:basedOn w:val="Normal"/>
    <w:link w:val="TextodegloboCar"/>
    <w:uiPriority w:val="99"/>
    <w:semiHidden/>
    <w:unhideWhenUsed/>
    <w:rsid w:val="007E2A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Mildred Manzanilla</cp:lastModifiedBy>
  <cp:revision>2</cp:revision>
  <cp:lastPrinted>2018-09-27T17:26:00Z</cp:lastPrinted>
  <dcterms:created xsi:type="dcterms:W3CDTF">2018-09-28T18:32:00Z</dcterms:created>
  <dcterms:modified xsi:type="dcterms:W3CDTF">2018-09-28T18:32:00Z</dcterms:modified>
</cp:coreProperties>
</file>